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86" w:rsidRPr="00115B10" w:rsidRDefault="00127186" w:rsidP="0012718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9260" cy="58039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86" w:rsidRPr="00115B10" w:rsidRDefault="00127186" w:rsidP="00127186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127186" w:rsidRPr="00115B10" w:rsidRDefault="00127186" w:rsidP="00127186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127186" w:rsidRPr="00115B10" w:rsidRDefault="00127186" w:rsidP="00127186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127186" w:rsidRPr="002B4486" w:rsidRDefault="00127186" w:rsidP="00127186">
      <w:pPr>
        <w:rPr>
          <w:i/>
          <w:sz w:val="17"/>
          <w:szCs w:val="17"/>
        </w:rPr>
      </w:pPr>
      <w:r w:rsidRPr="002B4486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>34, м</w:t>
        </w:r>
      </w:smartTag>
      <w:r w:rsidRPr="002B4486">
        <w:rPr>
          <w:sz w:val="17"/>
          <w:szCs w:val="17"/>
        </w:rPr>
        <w:t xml:space="preserve">.Чернігів, 14013,  тел. (046-22) 3-33-37, факс  (046-2) 67-57-54,  </w:t>
      </w:r>
      <w:hyperlink r:id="rId7" w:history="1">
        <w:r w:rsidRPr="00A23E32">
          <w:rPr>
            <w:rStyle w:val="a5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127186" w:rsidRPr="00115B10" w:rsidRDefault="00127186" w:rsidP="00127186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127186" w:rsidRPr="00115B10" w:rsidTr="00D10DCD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186" w:rsidRPr="00115B10" w:rsidRDefault="00A75538" w:rsidP="00D10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29.05.2019</w:t>
            </w:r>
          </w:p>
        </w:tc>
        <w:tc>
          <w:tcPr>
            <w:tcW w:w="340" w:type="dxa"/>
            <w:vAlign w:val="bottom"/>
          </w:tcPr>
          <w:p w:rsidR="00127186" w:rsidRPr="00115B10" w:rsidRDefault="00127186" w:rsidP="00D10DCD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186" w:rsidRPr="00115B10" w:rsidRDefault="00A75538" w:rsidP="00D10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06-14/1765</w:t>
            </w:r>
          </w:p>
        </w:tc>
        <w:tc>
          <w:tcPr>
            <w:tcW w:w="1080" w:type="dxa"/>
            <w:vAlign w:val="bottom"/>
          </w:tcPr>
          <w:p w:rsidR="00127186" w:rsidRPr="00115B10" w:rsidRDefault="00127186" w:rsidP="00D10D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127186" w:rsidRPr="00115B10" w:rsidRDefault="00127186" w:rsidP="00D10DCD">
            <w:pPr>
              <w:jc w:val="center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127186" w:rsidRPr="00B469D7" w:rsidRDefault="00127186" w:rsidP="00D10DC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127186" w:rsidRPr="00115B10" w:rsidRDefault="00127186" w:rsidP="00D10DCD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127186" w:rsidRPr="00115B10" w:rsidRDefault="00127186" w:rsidP="00D10D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27186" w:rsidRPr="005036DD" w:rsidRDefault="00127186" w:rsidP="00127186">
      <w:pPr>
        <w:rPr>
          <w:sz w:val="28"/>
          <w:szCs w:val="28"/>
          <w:lang w:val="uk-UA"/>
        </w:rPr>
      </w:pPr>
    </w:p>
    <w:p w:rsidR="00127186" w:rsidRDefault="00127186" w:rsidP="00127186">
      <w:pPr>
        <w:spacing w:line="360" w:lineRule="auto"/>
        <w:ind w:left="5103"/>
        <w:rPr>
          <w:b/>
          <w:sz w:val="28"/>
          <w:szCs w:val="28"/>
          <w:lang w:val="uk-UA"/>
        </w:rPr>
      </w:pPr>
      <w:r w:rsidRPr="00804BF3">
        <w:rPr>
          <w:b/>
          <w:sz w:val="28"/>
          <w:szCs w:val="28"/>
          <w:lang w:val="uk-UA"/>
        </w:rPr>
        <w:t>Місц</w:t>
      </w:r>
      <w:r>
        <w:rPr>
          <w:b/>
          <w:sz w:val="28"/>
          <w:szCs w:val="28"/>
          <w:lang w:val="uk-UA"/>
        </w:rPr>
        <w:t xml:space="preserve">евим органам управління освітою </w:t>
      </w:r>
    </w:p>
    <w:p w:rsidR="00127186" w:rsidRDefault="00127186" w:rsidP="00127186">
      <w:pPr>
        <w:spacing w:line="360" w:lineRule="auto"/>
        <w:ind w:left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Закладам освіти обласного підпорядкування</w:t>
      </w:r>
    </w:p>
    <w:p w:rsidR="00127186" w:rsidRDefault="00127186" w:rsidP="00127186">
      <w:pPr>
        <w:spacing w:line="360" w:lineRule="auto"/>
        <w:ind w:left="5103"/>
        <w:rPr>
          <w:b/>
          <w:sz w:val="28"/>
          <w:szCs w:val="28"/>
          <w:lang w:val="uk-UA"/>
        </w:rPr>
      </w:pPr>
    </w:p>
    <w:p w:rsidR="001E58CE" w:rsidRDefault="00127186" w:rsidP="0012718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1E58CE">
        <w:rPr>
          <w:b/>
          <w:i/>
          <w:sz w:val="28"/>
          <w:szCs w:val="28"/>
          <w:lang w:val="uk-UA"/>
        </w:rPr>
        <w:t xml:space="preserve">ля організації відповідної роботи </w:t>
      </w:r>
    </w:p>
    <w:p w:rsidR="00127186" w:rsidRPr="003A4D42" w:rsidRDefault="001E58CE" w:rsidP="0012718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та </w:t>
      </w:r>
      <w:r w:rsidR="00127186" w:rsidRPr="003A4D42">
        <w:rPr>
          <w:b/>
          <w:i/>
          <w:sz w:val="28"/>
          <w:szCs w:val="28"/>
          <w:lang w:val="uk-UA"/>
        </w:rPr>
        <w:t>інформування</w:t>
      </w:r>
    </w:p>
    <w:p w:rsidR="00127186" w:rsidRDefault="00127186" w:rsidP="00127186">
      <w:pPr>
        <w:jc w:val="center"/>
        <w:rPr>
          <w:b/>
          <w:i/>
          <w:sz w:val="28"/>
          <w:szCs w:val="28"/>
          <w:lang w:val="uk-UA"/>
        </w:rPr>
      </w:pPr>
    </w:p>
    <w:p w:rsidR="00127186" w:rsidRDefault="00127186" w:rsidP="00127186">
      <w:pPr>
        <w:jc w:val="center"/>
        <w:rPr>
          <w:b/>
          <w:i/>
          <w:sz w:val="28"/>
          <w:szCs w:val="28"/>
          <w:lang w:val="uk-UA"/>
        </w:rPr>
      </w:pPr>
      <w:r w:rsidRPr="008F0938">
        <w:rPr>
          <w:b/>
          <w:i/>
          <w:sz w:val="28"/>
          <w:szCs w:val="28"/>
          <w:lang w:val="uk-UA"/>
        </w:rPr>
        <w:t>Шановні колеги!</w:t>
      </w:r>
    </w:p>
    <w:p w:rsidR="00127186" w:rsidRPr="005036DD" w:rsidRDefault="00127186" w:rsidP="00127186">
      <w:pPr>
        <w:jc w:val="center"/>
        <w:rPr>
          <w:b/>
          <w:i/>
          <w:sz w:val="28"/>
          <w:szCs w:val="28"/>
          <w:lang w:val="uk-UA"/>
        </w:rPr>
      </w:pPr>
    </w:p>
    <w:p w:rsidR="00127186" w:rsidRPr="00D77727" w:rsidRDefault="00127186" w:rsidP="001E58CE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На адресу Управління освіти і науки облдержадміністрації надійшов лист прокуратури Чернігівської області від 1</w:t>
      </w:r>
      <w:r w:rsidR="00D7772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D77727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.201</w:t>
      </w:r>
      <w:r w:rsidR="00B846A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0</w:t>
      </w:r>
      <w:r w:rsidR="00D77727">
        <w:rPr>
          <w:sz w:val="28"/>
          <w:szCs w:val="28"/>
          <w:lang w:val="uk-UA"/>
        </w:rPr>
        <w:t>4/2/2-1214 вих</w:t>
      </w:r>
      <w:r w:rsidR="00B846AA">
        <w:rPr>
          <w:sz w:val="28"/>
          <w:szCs w:val="28"/>
          <w:lang w:val="uk-UA"/>
        </w:rPr>
        <w:t xml:space="preserve"> </w:t>
      </w:r>
      <w:r w:rsidR="00D77727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, в якому зазначено, що </w:t>
      </w:r>
      <w:r w:rsidR="00D77727">
        <w:rPr>
          <w:sz w:val="28"/>
          <w:szCs w:val="28"/>
          <w:lang w:val="uk-UA"/>
        </w:rPr>
        <w:t>в</w:t>
      </w:r>
      <w:r w:rsidR="00514ACF">
        <w:rPr>
          <w:rStyle w:val="a4"/>
        </w:rPr>
        <w:t>ідповідно до ст. </w:t>
      </w:r>
      <w:r>
        <w:rPr>
          <w:rStyle w:val="a4"/>
        </w:rPr>
        <w:t>119 Конституції України забезпечення законності і правопорядку, додержання прав і свобод громадян на відповідній території покладено на місцеві державні адміністрації.</w:t>
      </w:r>
    </w:p>
    <w:p w:rsidR="00127186" w:rsidRDefault="00127186" w:rsidP="001E58CE">
      <w:pPr>
        <w:pStyle w:val="a3"/>
        <w:spacing w:line="276" w:lineRule="auto"/>
        <w:jc w:val="both"/>
      </w:pPr>
      <w:r>
        <w:rPr>
          <w:rStyle w:val="a4"/>
        </w:rPr>
        <w:t>Рішенням шостої сесії обласної ради сьомого скликання 29.09.2016 затверджено програму профілактики правопорушень у Чернігівської області на 2016-2020 роки, яка наразі виконується.</w:t>
      </w:r>
    </w:p>
    <w:p w:rsidR="00127186" w:rsidRDefault="00127186" w:rsidP="001E58CE">
      <w:pPr>
        <w:pStyle w:val="a3"/>
        <w:spacing w:line="276" w:lineRule="auto"/>
        <w:jc w:val="both"/>
      </w:pPr>
      <w:r>
        <w:rPr>
          <w:rStyle w:val="a4"/>
        </w:rPr>
        <w:t>Водночас, вивчення стану криміногенної ситуації в регіоні упродовж січня - квітня поточного року засвідчило, що незважаючи на деякі позитивні зрушення, у сфері протидії злочинності наявні ряд проблемних питань, що не сприяють захищеності мешканців області від злочинних посягань.</w:t>
      </w:r>
    </w:p>
    <w:p w:rsidR="00127186" w:rsidRDefault="00127186" w:rsidP="001E58CE">
      <w:pPr>
        <w:pStyle w:val="a3"/>
        <w:spacing w:line="276" w:lineRule="auto"/>
        <w:jc w:val="both"/>
      </w:pPr>
      <w:r>
        <w:rPr>
          <w:rStyle w:val="a4"/>
        </w:rPr>
        <w:t xml:space="preserve">Майже на 700 кримінальних правопорушень обліковано більше, ніж за аналогічний період минулого року (5748 проти 5066), кількість злочинів на 10 тисяч населення є вищою ніж у середньому </w:t>
      </w:r>
      <w:r w:rsidR="00B846AA">
        <w:rPr>
          <w:rStyle w:val="a4"/>
        </w:rPr>
        <w:t>в</w:t>
      </w:r>
      <w:r>
        <w:rPr>
          <w:rStyle w:val="a4"/>
        </w:rPr>
        <w:t xml:space="preserve"> державі. Вищий</w:t>
      </w:r>
      <w:r w:rsidR="00833A72">
        <w:rPr>
          <w:rStyle w:val="a4"/>
        </w:rPr>
        <w:t xml:space="preserve"> рівень злочинності тільки в м. </w:t>
      </w:r>
      <w:r>
        <w:rPr>
          <w:rStyle w:val="a4"/>
        </w:rPr>
        <w:t>Києві, Миколаївській, Херсонській та Дніпропетровській областях.</w:t>
      </w:r>
    </w:p>
    <w:p w:rsidR="00127186" w:rsidRDefault="00127186" w:rsidP="001E58CE">
      <w:pPr>
        <w:pStyle w:val="a3"/>
        <w:spacing w:line="276" w:lineRule="auto"/>
        <w:jc w:val="both"/>
        <w:rPr>
          <w:rStyle w:val="a4"/>
        </w:rPr>
      </w:pPr>
      <w:r>
        <w:rPr>
          <w:rStyle w:val="a4"/>
        </w:rPr>
        <w:t xml:space="preserve">Близько третини (27,3%) у структурі злочинності становлять тяжкі кримінальні правопорушення, ще майже два відсотки </w:t>
      </w:r>
      <w:r>
        <w:t xml:space="preserve">- </w:t>
      </w:r>
      <w:r>
        <w:rPr>
          <w:rStyle w:val="a4"/>
        </w:rPr>
        <w:t>особливо тяжкі.</w:t>
      </w:r>
    </w:p>
    <w:p w:rsidR="00127186" w:rsidRPr="00022E82" w:rsidRDefault="00127186" w:rsidP="001E58CE">
      <w:pPr>
        <w:pStyle w:val="a3"/>
        <w:spacing w:line="276" w:lineRule="auto"/>
        <w:jc w:val="both"/>
      </w:pPr>
      <w:r w:rsidRPr="00022E82">
        <w:lastRenderedPageBreak/>
        <w:t>Ріст особливо тяжких злочинів спостерігається на території Бахмацького, Сос</w:t>
      </w:r>
      <w:r w:rsidR="000A2B44">
        <w:t>н</w:t>
      </w:r>
      <w:r w:rsidRPr="00022E82">
        <w:t>иць</w:t>
      </w:r>
      <w:r>
        <w:rPr>
          <w:rStyle w:val="a4"/>
        </w:rPr>
        <w:t xml:space="preserve">кого, Ніжинського, Носівського, </w:t>
      </w:r>
      <w:r w:rsidRPr="00022E82">
        <w:t>Варвинського,</w:t>
      </w:r>
      <w:r w:rsidR="00D77727">
        <w:rPr>
          <w:rStyle w:val="a4"/>
        </w:rPr>
        <w:t xml:space="preserve"> </w:t>
      </w:r>
      <w:r w:rsidRPr="00022E82">
        <w:t>Ічнянського</w:t>
      </w:r>
      <w:r w:rsidR="00D77727" w:rsidRPr="00022E82">
        <w:t>,</w:t>
      </w:r>
      <w:r w:rsidR="00970C04">
        <w:rPr>
          <w:rStyle w:val="a4"/>
        </w:rPr>
        <w:t xml:space="preserve"> </w:t>
      </w:r>
      <w:r w:rsidRPr="00022E82">
        <w:t>Срібнянського, Куликівського районів та м. Чернігова, тяжких -</w:t>
      </w:r>
      <w:r w:rsidR="00970C04">
        <w:t xml:space="preserve"> </w:t>
      </w:r>
      <w:r w:rsidRPr="00022E82">
        <w:t>Бахмацького</w:t>
      </w:r>
      <w:r w:rsidR="005C1469">
        <w:t>,</w:t>
      </w:r>
      <w:r w:rsidR="005C1469">
        <w:rPr>
          <w:lang w:val="ru-RU"/>
        </w:rPr>
        <w:t> </w:t>
      </w:r>
      <w:r w:rsidR="00970C04">
        <w:t>Талалаївського, Г</w:t>
      </w:r>
      <w:r w:rsidRPr="00022E82">
        <w:t>ороднянського, Сос</w:t>
      </w:r>
      <w:r w:rsidR="000A2B44">
        <w:t>н</w:t>
      </w:r>
      <w:r w:rsidRPr="00022E82">
        <w:t>ицького, Сновського,</w:t>
      </w:r>
      <w:r w:rsidR="00022E82" w:rsidRPr="00022E82">
        <w:t xml:space="preserve"> </w:t>
      </w:r>
      <w:r w:rsidRPr="00022E82">
        <w:t>Ніжинського,</w:t>
      </w:r>
      <w:r w:rsidR="00022E82" w:rsidRPr="00022E82">
        <w:t xml:space="preserve"> </w:t>
      </w:r>
      <w:r w:rsidRPr="00022E82">
        <w:t>Бобровицького, Прилуцького, Варвинського, Ічнянського,</w:t>
      </w:r>
      <w:r w:rsidR="00022E82" w:rsidRPr="00022E82">
        <w:t xml:space="preserve"> </w:t>
      </w:r>
      <w:r w:rsidRPr="00022E82">
        <w:t>Ріпкинського</w:t>
      </w:r>
      <w:r w:rsidR="00022E82" w:rsidRPr="00022E82">
        <w:t xml:space="preserve"> </w:t>
      </w:r>
      <w:r w:rsidRPr="00022E82">
        <w:t>районів та м. Чернігова.</w:t>
      </w:r>
    </w:p>
    <w:p w:rsidR="00127186" w:rsidRDefault="00127186" w:rsidP="001E58CE">
      <w:pPr>
        <w:pStyle w:val="a3"/>
        <w:spacing w:line="276" w:lineRule="auto"/>
        <w:jc w:val="both"/>
      </w:pPr>
      <w:r>
        <w:rPr>
          <w:rStyle w:val="a4"/>
        </w:rPr>
        <w:t>Особливо турбує зростання у регіоні кількості облікованих злочинів проти життя та здоров’я особи (899 проти 719), передусім тяжких та особливо тяжких.</w:t>
      </w:r>
    </w:p>
    <w:p w:rsidR="00127186" w:rsidRDefault="00127186" w:rsidP="001E58CE">
      <w:pPr>
        <w:pStyle w:val="a3"/>
        <w:spacing w:line="276" w:lineRule="auto"/>
        <w:jc w:val="both"/>
      </w:pPr>
      <w:r>
        <w:rPr>
          <w:rStyle w:val="a4"/>
        </w:rPr>
        <w:t>Так, упродовж січня - квітня 2019 року в області вчинено 18 умисних вбивств (за цей же період у 2018 році - 12). Зросла кількість умисних тяжких</w:t>
      </w:r>
      <w:r w:rsidR="000A2B44">
        <w:rPr>
          <w:rStyle w:val="a4"/>
        </w:rPr>
        <w:t xml:space="preserve"> </w:t>
      </w:r>
      <w:r>
        <w:rPr>
          <w:rStyle w:val="a4"/>
        </w:rPr>
        <w:t>тілесних ушкоджень (26 проти 23), у тому числі тих, що спричинили смерть потерпілих (9 проти 7).</w:t>
      </w:r>
    </w:p>
    <w:p w:rsidR="00127186" w:rsidRDefault="00127186" w:rsidP="001E58CE">
      <w:pPr>
        <w:pStyle w:val="a3"/>
        <w:spacing w:line="276" w:lineRule="auto"/>
        <w:jc w:val="both"/>
      </w:pPr>
      <w:r>
        <w:rPr>
          <w:rStyle w:val="a4"/>
        </w:rPr>
        <w:t>Переважна їх більшість вчинена особами у стані алкогольного чи наркотичного сп’яніння (11) та особами, які раніше вчиняли кримінальні правопорушення.</w:t>
      </w:r>
    </w:p>
    <w:p w:rsidR="00127186" w:rsidRDefault="00127186" w:rsidP="001E58CE">
      <w:pPr>
        <w:pStyle w:val="a3"/>
        <w:spacing w:line="276" w:lineRule="auto"/>
        <w:jc w:val="both"/>
      </w:pPr>
      <w:r>
        <w:rPr>
          <w:rStyle w:val="a4"/>
        </w:rPr>
        <w:t>Особливе занепокоєння викликають факти вчинення кримінальних правопорушень, коли потерпілими від злочинних посягань стають діти.</w:t>
      </w:r>
    </w:p>
    <w:p w:rsidR="00127186" w:rsidRDefault="00833A72" w:rsidP="001E58CE">
      <w:pPr>
        <w:pStyle w:val="a3"/>
        <w:spacing w:line="276" w:lineRule="auto"/>
        <w:jc w:val="both"/>
      </w:pPr>
      <w:r>
        <w:rPr>
          <w:rStyle w:val="a4"/>
        </w:rPr>
        <w:t>Т</w:t>
      </w:r>
      <w:r w:rsidR="00127186">
        <w:rPr>
          <w:rStyle w:val="a4"/>
        </w:rPr>
        <w:t>ак, нещодавно регіон сколихнули резонансні злочини у Бахмацькому та С</w:t>
      </w:r>
      <w:r w:rsidR="000A2B44">
        <w:rPr>
          <w:rStyle w:val="a4"/>
        </w:rPr>
        <w:t>н</w:t>
      </w:r>
      <w:r w:rsidR="00127186">
        <w:rPr>
          <w:rStyle w:val="a4"/>
        </w:rPr>
        <w:t>овському районах, де об’єктами злочинних посягань були малолітні діти та їх статева недоторканість, а злочинцями - їх батьки (бахмацька сім’я перебувала під наглядом відповідних служб). За даними фактами триває досудове розслідування, підозрювані перебувають під вартою.</w:t>
      </w:r>
    </w:p>
    <w:p w:rsidR="00127186" w:rsidRDefault="00127186" w:rsidP="001E58CE">
      <w:pPr>
        <w:pStyle w:val="a3"/>
        <w:spacing w:line="276" w:lineRule="auto"/>
        <w:jc w:val="both"/>
      </w:pPr>
      <w:r>
        <w:rPr>
          <w:rStyle w:val="a4"/>
        </w:rPr>
        <w:t>Загалом упродовж 2018 року потерпілими від злочинів стали 122 дітей, за поточний період 2019 року - 47.</w:t>
      </w:r>
    </w:p>
    <w:p w:rsidR="00127186" w:rsidRDefault="00127186" w:rsidP="001E58CE">
      <w:pPr>
        <w:pStyle w:val="a3"/>
        <w:spacing w:line="276" w:lineRule="auto"/>
        <w:jc w:val="both"/>
      </w:pPr>
      <w:r>
        <w:rPr>
          <w:rStyle w:val="a4"/>
        </w:rPr>
        <w:t>Значна кількість осіб гине на дорогах області. Так, у поточному році зареєстровано 13 кримінальних правопорушень за фактами дорожньо- транспортних пригод, у яких загинуло 14 потерпілих.</w:t>
      </w:r>
    </w:p>
    <w:p w:rsidR="00127186" w:rsidRDefault="00127186" w:rsidP="001E58CE">
      <w:pPr>
        <w:pStyle w:val="a3"/>
        <w:spacing w:line="276" w:lineRule="auto"/>
        <w:jc w:val="both"/>
      </w:pPr>
      <w:r>
        <w:rPr>
          <w:rStyle w:val="a4"/>
        </w:rPr>
        <w:t xml:space="preserve">Не вжиті належні заходи до запобігання: та протидії злочинам проти власності, яких скоєно 54,4% від усіх облікованих. Обліковано 2403 крадіжок, 41 грабіж, </w:t>
      </w:r>
      <w:r w:rsidR="000A2B44">
        <w:rPr>
          <w:rStyle w:val="a4"/>
        </w:rPr>
        <w:t>1</w:t>
      </w:r>
      <w:r>
        <w:rPr>
          <w:rStyle w:val="a4"/>
        </w:rPr>
        <w:t>1 розбійних нападів, 9 вимагань, 400 шахрайств.</w:t>
      </w:r>
    </w:p>
    <w:p w:rsidR="00127186" w:rsidRDefault="00127186" w:rsidP="001E58CE">
      <w:pPr>
        <w:pStyle w:val="a3"/>
        <w:spacing w:line="276" w:lineRule="auto"/>
        <w:jc w:val="both"/>
      </w:pPr>
      <w:r>
        <w:rPr>
          <w:rStyle w:val="a4"/>
        </w:rPr>
        <w:t>Велику кількість правопорушень (476) скоєно особами, які їх раніше вчиняли.</w:t>
      </w:r>
    </w:p>
    <w:p w:rsidR="00127186" w:rsidRDefault="00127186" w:rsidP="001E58CE">
      <w:pPr>
        <w:pStyle w:val="a3"/>
        <w:spacing w:line="276" w:lineRule="auto"/>
        <w:jc w:val="both"/>
      </w:pPr>
      <w:r>
        <w:rPr>
          <w:rStyle w:val="a4"/>
        </w:rPr>
        <w:t xml:space="preserve">Місцевими органами державної влади та їх структурними підрозділами усупереч вимогам законів України «Про місцеві державні адміністрації», «Про охорону дитинства», «Про освіту» не забезпечено </w:t>
      </w:r>
      <w:r w:rsidR="00B846AA">
        <w:rPr>
          <w:rStyle w:val="a4"/>
        </w:rPr>
        <w:t>п</w:t>
      </w:r>
      <w:r>
        <w:rPr>
          <w:rStyle w:val="a4"/>
        </w:rPr>
        <w:t xml:space="preserve">овною мірою контролю за діяльністю навчальних закладів, </w:t>
      </w:r>
      <w:r w:rsidR="00B846AA">
        <w:rPr>
          <w:rStyle w:val="a4"/>
        </w:rPr>
        <w:t>н</w:t>
      </w:r>
      <w:r>
        <w:rPr>
          <w:rStyle w:val="a4"/>
        </w:rPr>
        <w:t>а недостатньому рівні організовано роботу із запобігання правопорушенням серед учнівської молоді.</w:t>
      </w:r>
    </w:p>
    <w:p w:rsidR="00127186" w:rsidRDefault="00127186" w:rsidP="001E58CE">
      <w:pPr>
        <w:pStyle w:val="a3"/>
        <w:spacing w:line="276" w:lineRule="auto"/>
        <w:jc w:val="both"/>
      </w:pPr>
      <w:r>
        <w:rPr>
          <w:rStyle w:val="a4"/>
        </w:rPr>
        <w:t xml:space="preserve">Неналежна виховна робота, необізнаність про родинне оточення неповнолітніх могли сприяти вчиненню дітьми цьогоріч 16 злочинів, </w:t>
      </w:r>
      <w:r w:rsidR="000A2B44">
        <w:rPr>
          <w:rStyle w:val="a4"/>
        </w:rPr>
        <w:t xml:space="preserve">з них </w:t>
      </w:r>
      <w:r>
        <w:rPr>
          <w:rStyle w:val="a4"/>
        </w:rPr>
        <w:t xml:space="preserve">2 - </w:t>
      </w:r>
      <w:r>
        <w:rPr>
          <w:rStyle w:val="a4"/>
        </w:rPr>
        <w:lastRenderedPageBreak/>
        <w:t>особливо тяжких, 7 - тяжких, 4 - середньої тяжкості та 3 невеликої</w:t>
      </w:r>
      <w:r w:rsidR="000A2B44">
        <w:rPr>
          <w:rStyle w:val="a4"/>
        </w:rPr>
        <w:t xml:space="preserve"> </w:t>
      </w:r>
      <w:r>
        <w:rPr>
          <w:rStyle w:val="a4"/>
        </w:rPr>
        <w:t>тяжкості. Більшість з них скоїли учні шкіл та професійно-технічних навчальних закладів.</w:t>
      </w:r>
    </w:p>
    <w:p w:rsidR="00127186" w:rsidRPr="007F589C" w:rsidRDefault="00127186" w:rsidP="001E58CE">
      <w:pPr>
        <w:pStyle w:val="a3"/>
        <w:spacing w:line="276" w:lineRule="auto"/>
        <w:jc w:val="both"/>
      </w:pPr>
      <w:r>
        <w:rPr>
          <w:rStyle w:val="a4"/>
        </w:rPr>
        <w:t xml:space="preserve">У минулому році 66 неповнолітніх вчинили 84 кримінальні правопорушення. Серед них, 33 - тяжких та 1 - особливо тяжкий. Крім того, 4 неповнолітніх вчинили злочини повторно, перебуваючи </w:t>
      </w:r>
      <w:r w:rsidR="00810824">
        <w:rPr>
          <w:rStyle w:val="a4"/>
        </w:rPr>
        <w:t>н</w:t>
      </w:r>
      <w:r>
        <w:rPr>
          <w:rStyle w:val="a4"/>
        </w:rPr>
        <w:t xml:space="preserve">а </w:t>
      </w:r>
      <w:r w:rsidRPr="007F589C">
        <w:rPr>
          <w:rStyle w:val="a4"/>
        </w:rPr>
        <w:t xml:space="preserve">обліках </w:t>
      </w:r>
      <w:r w:rsidR="00810824" w:rsidRPr="00810824">
        <w:rPr>
          <w:rStyle w:val="Tahoma"/>
          <w:rFonts w:ascii="Times New Roman" w:hAnsi="Times New Roman" w:cs="Times New Roman"/>
          <w:sz w:val="28"/>
          <w:szCs w:val="28"/>
        </w:rPr>
        <w:t>у</w:t>
      </w:r>
      <w:r w:rsidRPr="00810824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7F589C">
        <w:rPr>
          <w:rStyle w:val="a4"/>
        </w:rPr>
        <w:t xml:space="preserve">відповідних органах превенції (Новгород-Сіверський район - </w:t>
      </w:r>
      <w:smartTag w:uri="urn:schemas-microsoft-com:office:smarttags" w:element="metricconverter">
        <w:smartTagPr>
          <w:attr w:name="ProductID" w:val="2, м"/>
        </w:smartTagPr>
        <w:r w:rsidRPr="007F589C">
          <w:rPr>
            <w:rStyle w:val="a4"/>
          </w:rPr>
          <w:t>2, м</w:t>
        </w:r>
      </w:smartTag>
      <w:r w:rsidRPr="007F589C">
        <w:rPr>
          <w:rStyle w:val="a4"/>
        </w:rPr>
        <w:t>. Прилуки - 1. Ріпкинський район - 1), у стані алкогольного сп’яніння - 3, у складі групи - 9.</w:t>
      </w:r>
    </w:p>
    <w:p w:rsidR="00127186" w:rsidRDefault="00127186" w:rsidP="001E58CE">
      <w:pPr>
        <w:pStyle w:val="a3"/>
        <w:spacing w:line="276" w:lineRule="auto"/>
        <w:jc w:val="both"/>
      </w:pPr>
      <w:r w:rsidRPr="007F589C">
        <w:rPr>
          <w:rStyle w:val="a4"/>
        </w:rPr>
        <w:t>Стосовно 94 підлітків складено протоколи про адміністративні</w:t>
      </w:r>
      <w:r>
        <w:rPr>
          <w:rStyle w:val="a4"/>
        </w:rPr>
        <w:t xml:space="preserve"> правопорушення, з них 36 за розпивання пива та алкогольних напоїв у громадських місцях. При цьому 2 дітей госпіталізовано із алкогольним отруєнням.</w:t>
      </w:r>
    </w:p>
    <w:p w:rsidR="00127186" w:rsidRDefault="00127186" w:rsidP="001E58CE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</w:t>
      </w:r>
      <w:r w:rsidR="00732383">
        <w:rPr>
          <w:sz w:val="28"/>
          <w:szCs w:val="28"/>
          <w:lang w:val="uk-UA"/>
        </w:rPr>
        <w:t>проведен</w:t>
      </w:r>
      <w:r>
        <w:rPr>
          <w:sz w:val="28"/>
          <w:szCs w:val="28"/>
          <w:lang w:val="uk-UA"/>
        </w:rPr>
        <w:t xml:space="preserve">і заходи просимо надати на електронну адресу Управління освіти і науки облдержадміністрації </w:t>
      </w:r>
      <w:r>
        <w:rPr>
          <w:b/>
          <w:sz w:val="28"/>
          <w:szCs w:val="28"/>
          <w:lang w:val="uk-UA"/>
        </w:rPr>
        <w:t>в термін до </w:t>
      </w:r>
      <w:r w:rsidR="001E58CE">
        <w:rPr>
          <w:b/>
          <w:sz w:val="28"/>
          <w:szCs w:val="28"/>
          <w:lang w:val="uk-UA"/>
        </w:rPr>
        <w:t>07 червня 2019 </w:t>
      </w:r>
      <w:r w:rsidRPr="002135A5">
        <w:rPr>
          <w:b/>
          <w:sz w:val="28"/>
          <w:szCs w:val="28"/>
          <w:lang w:val="uk-UA"/>
        </w:rPr>
        <w:t>року</w:t>
      </w:r>
      <w:r w:rsidR="001E58CE">
        <w:rPr>
          <w:sz w:val="28"/>
          <w:szCs w:val="28"/>
          <w:lang w:val="uk-UA"/>
        </w:rPr>
        <w:t>.</w:t>
      </w:r>
    </w:p>
    <w:p w:rsidR="00127186" w:rsidRDefault="00127186" w:rsidP="001E58CE">
      <w:pPr>
        <w:pStyle w:val="a3"/>
        <w:spacing w:line="276" w:lineRule="auto"/>
        <w:rPr>
          <w:lang w:val="ru-RU"/>
        </w:rPr>
      </w:pPr>
    </w:p>
    <w:p w:rsidR="001E58CE" w:rsidRPr="001E58CE" w:rsidRDefault="001E58CE" w:rsidP="001E58CE">
      <w:pPr>
        <w:pStyle w:val="a3"/>
        <w:spacing w:line="276" w:lineRule="auto"/>
        <w:rPr>
          <w:lang w:val="ru-RU"/>
        </w:rPr>
      </w:pPr>
    </w:p>
    <w:p w:rsidR="00127186" w:rsidRDefault="00127186" w:rsidP="00022E82">
      <w:pPr>
        <w:pStyle w:val="a3"/>
      </w:pPr>
    </w:p>
    <w:p w:rsidR="00127186" w:rsidRPr="00D55E9E" w:rsidRDefault="00127186" w:rsidP="00732383">
      <w:pPr>
        <w:pStyle w:val="a3"/>
        <w:ind w:firstLine="0"/>
      </w:pPr>
      <w:r>
        <w:t>З повагою</w:t>
      </w:r>
    </w:p>
    <w:p w:rsidR="00127186" w:rsidRPr="00F47682" w:rsidRDefault="00127186" w:rsidP="0012718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Заступник начальника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О. СОРОНОВИЧ</w:t>
      </w:r>
    </w:p>
    <w:p w:rsidR="00127186" w:rsidRDefault="00127186" w:rsidP="00127186">
      <w:pPr>
        <w:rPr>
          <w:sz w:val="16"/>
          <w:szCs w:val="16"/>
          <w:lang w:val="uk-UA"/>
        </w:rPr>
      </w:pPr>
    </w:p>
    <w:p w:rsidR="001E58CE" w:rsidRDefault="001E58CE" w:rsidP="00127186">
      <w:pPr>
        <w:rPr>
          <w:sz w:val="16"/>
          <w:szCs w:val="16"/>
          <w:lang w:val="uk-UA"/>
        </w:rPr>
      </w:pPr>
    </w:p>
    <w:p w:rsidR="001E58CE" w:rsidRDefault="001E58CE" w:rsidP="00127186">
      <w:pPr>
        <w:rPr>
          <w:sz w:val="16"/>
          <w:szCs w:val="16"/>
          <w:lang w:val="uk-UA"/>
        </w:rPr>
      </w:pPr>
    </w:p>
    <w:p w:rsidR="001E58CE" w:rsidRDefault="001E58CE" w:rsidP="00127186">
      <w:pPr>
        <w:rPr>
          <w:sz w:val="16"/>
          <w:szCs w:val="16"/>
          <w:lang w:val="uk-UA"/>
        </w:rPr>
      </w:pPr>
    </w:p>
    <w:p w:rsidR="001E58CE" w:rsidRDefault="001E58CE" w:rsidP="00127186">
      <w:pPr>
        <w:rPr>
          <w:sz w:val="16"/>
          <w:szCs w:val="16"/>
          <w:lang w:val="uk-UA"/>
        </w:rPr>
      </w:pPr>
    </w:p>
    <w:p w:rsidR="001E58CE" w:rsidRDefault="001E58CE" w:rsidP="00127186">
      <w:pPr>
        <w:rPr>
          <w:sz w:val="16"/>
          <w:szCs w:val="16"/>
          <w:lang w:val="uk-UA"/>
        </w:rPr>
      </w:pPr>
    </w:p>
    <w:p w:rsidR="001E58CE" w:rsidRDefault="001E58CE" w:rsidP="00127186">
      <w:pPr>
        <w:rPr>
          <w:sz w:val="16"/>
          <w:szCs w:val="16"/>
          <w:lang w:val="uk-UA"/>
        </w:rPr>
      </w:pPr>
    </w:p>
    <w:p w:rsidR="001E58CE" w:rsidRDefault="001E58CE" w:rsidP="00127186">
      <w:pPr>
        <w:rPr>
          <w:sz w:val="16"/>
          <w:szCs w:val="16"/>
          <w:lang w:val="uk-UA"/>
        </w:rPr>
      </w:pPr>
    </w:p>
    <w:p w:rsidR="001E58CE" w:rsidRDefault="001E58CE" w:rsidP="00127186">
      <w:pPr>
        <w:rPr>
          <w:sz w:val="16"/>
          <w:szCs w:val="16"/>
          <w:lang w:val="uk-UA"/>
        </w:rPr>
      </w:pPr>
    </w:p>
    <w:p w:rsidR="001E58CE" w:rsidRDefault="001E58CE" w:rsidP="00127186">
      <w:pPr>
        <w:rPr>
          <w:sz w:val="16"/>
          <w:szCs w:val="16"/>
          <w:lang w:val="uk-UA"/>
        </w:rPr>
      </w:pPr>
    </w:p>
    <w:p w:rsidR="001E58CE" w:rsidRDefault="001E58CE" w:rsidP="00127186">
      <w:pPr>
        <w:rPr>
          <w:sz w:val="16"/>
          <w:szCs w:val="16"/>
          <w:lang w:val="uk-UA"/>
        </w:rPr>
      </w:pPr>
    </w:p>
    <w:p w:rsidR="00127186" w:rsidRDefault="00127186" w:rsidP="00127186">
      <w:pPr>
        <w:rPr>
          <w:sz w:val="16"/>
          <w:szCs w:val="16"/>
          <w:lang w:val="uk-UA"/>
        </w:rPr>
      </w:pPr>
    </w:p>
    <w:p w:rsidR="00127186" w:rsidRDefault="00127186" w:rsidP="00127186">
      <w:pPr>
        <w:rPr>
          <w:sz w:val="16"/>
          <w:szCs w:val="16"/>
          <w:lang w:val="uk-UA"/>
        </w:rPr>
      </w:pPr>
      <w:r w:rsidRPr="001479E4">
        <w:rPr>
          <w:sz w:val="16"/>
          <w:szCs w:val="16"/>
        </w:rPr>
        <w:t>Наталія Коленченко 30192</w:t>
      </w:r>
    </w:p>
    <w:sectPr w:rsidR="00127186" w:rsidSect="006A7CEF">
      <w:headerReference w:type="even" r:id="rId8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A1" w:rsidRDefault="009015A1" w:rsidP="002D570E">
      <w:r>
        <w:separator/>
      </w:r>
    </w:p>
  </w:endnote>
  <w:endnote w:type="continuationSeparator" w:id="1">
    <w:p w:rsidR="009015A1" w:rsidRDefault="009015A1" w:rsidP="002D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A1" w:rsidRDefault="009015A1" w:rsidP="002D570E">
      <w:r>
        <w:separator/>
      </w:r>
    </w:p>
  </w:footnote>
  <w:footnote w:type="continuationSeparator" w:id="1">
    <w:p w:rsidR="009015A1" w:rsidRDefault="009015A1" w:rsidP="002D5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E4" w:rsidRDefault="005B4452" w:rsidP="006A7C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639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79E4" w:rsidRDefault="009015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186"/>
    <w:rsid w:val="00022E82"/>
    <w:rsid w:val="000A2B44"/>
    <w:rsid w:val="00127186"/>
    <w:rsid w:val="001E58CE"/>
    <w:rsid w:val="0026394A"/>
    <w:rsid w:val="00270FEA"/>
    <w:rsid w:val="002A2D91"/>
    <w:rsid w:val="002D570E"/>
    <w:rsid w:val="002E0B5B"/>
    <w:rsid w:val="00361201"/>
    <w:rsid w:val="00514ACF"/>
    <w:rsid w:val="005B4452"/>
    <w:rsid w:val="005C1469"/>
    <w:rsid w:val="00676959"/>
    <w:rsid w:val="006863D9"/>
    <w:rsid w:val="006A3707"/>
    <w:rsid w:val="00732383"/>
    <w:rsid w:val="007F589C"/>
    <w:rsid w:val="00810824"/>
    <w:rsid w:val="00833A72"/>
    <w:rsid w:val="00875DC4"/>
    <w:rsid w:val="008B25A9"/>
    <w:rsid w:val="009015A1"/>
    <w:rsid w:val="00970C04"/>
    <w:rsid w:val="009E4FEF"/>
    <w:rsid w:val="00A10172"/>
    <w:rsid w:val="00A75538"/>
    <w:rsid w:val="00B25DE9"/>
    <w:rsid w:val="00B748B7"/>
    <w:rsid w:val="00B846AA"/>
    <w:rsid w:val="00B92BC1"/>
    <w:rsid w:val="00BE6373"/>
    <w:rsid w:val="00D77727"/>
    <w:rsid w:val="00E40E4F"/>
    <w:rsid w:val="00E4546D"/>
    <w:rsid w:val="00E64790"/>
    <w:rsid w:val="00EF4BE4"/>
    <w:rsid w:val="00FB2AC0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22E82"/>
    <w:pPr>
      <w:tabs>
        <w:tab w:val="right" w:pos="9270"/>
      </w:tabs>
      <w:ind w:firstLine="709"/>
    </w:pPr>
    <w:rPr>
      <w:color w:val="000000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22E82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styleId="a5">
    <w:name w:val="Hyperlink"/>
    <w:basedOn w:val="a0"/>
    <w:rsid w:val="00127186"/>
    <w:rPr>
      <w:color w:val="0000FF"/>
      <w:u w:val="single"/>
    </w:rPr>
  </w:style>
  <w:style w:type="paragraph" w:styleId="a6">
    <w:name w:val="header"/>
    <w:basedOn w:val="a"/>
    <w:link w:val="a7"/>
    <w:rsid w:val="001271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27186"/>
  </w:style>
  <w:style w:type="table" w:styleId="a9">
    <w:name w:val="Table Grid"/>
    <w:basedOn w:val="a1"/>
    <w:rsid w:val="0012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ahoma">
    <w:name w:val="Основной текст + Tahoma"/>
    <w:aliases w:val="9 pt,Интервал 0 pt1"/>
    <w:basedOn w:val="a4"/>
    <w:rsid w:val="00127186"/>
    <w:rPr>
      <w:rFonts w:ascii="Tahoma" w:hAnsi="Tahoma" w:cs="Tahoma"/>
      <w:spacing w:val="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on_post@cg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2019-05-23T05:40:00Z</dcterms:created>
  <dcterms:modified xsi:type="dcterms:W3CDTF">2019-05-29T06:44:00Z</dcterms:modified>
</cp:coreProperties>
</file>